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3EF" w:rsidRPr="00D503EF" w:rsidRDefault="00D503EF" w:rsidP="00D503EF">
      <w:pPr>
        <w:pStyle w:val="NormalWeb"/>
        <w:shd w:val="clear" w:color="auto" w:fill="F8F8F8"/>
        <w:spacing w:before="240" w:beforeAutospacing="0" w:after="240" w:afterAutospacing="0"/>
        <w:rPr>
          <w:color w:val="333333"/>
          <w:sz w:val="44"/>
          <w:szCs w:val="30"/>
        </w:rPr>
      </w:pPr>
      <w:r w:rsidRPr="00D503EF">
        <w:rPr>
          <w:rFonts w:ascii="Helvetica" w:hAnsi="Helvetica" w:cs="Helvetica"/>
          <w:color w:val="373737"/>
          <w:sz w:val="37"/>
          <w:szCs w:val="23"/>
          <w:shd w:val="clear" w:color="auto" w:fill="FFFFFF"/>
        </w:rPr>
        <w:t>What do research and international standards say about teaching and learning with technology?</w:t>
      </w:r>
    </w:p>
    <w:p w:rsidR="00D503EF" w:rsidRDefault="00D503EF" w:rsidP="00D503EF">
      <w:pPr>
        <w:pStyle w:val="NormalWeb"/>
        <w:shd w:val="clear" w:color="auto" w:fill="F8F8F8"/>
        <w:spacing w:before="240" w:beforeAutospacing="0" w:after="240" w:afterAutospacing="0"/>
        <w:rPr>
          <w:color w:val="333333"/>
          <w:sz w:val="30"/>
          <w:szCs w:val="30"/>
        </w:rPr>
      </w:pPr>
    </w:p>
    <w:p w:rsidR="00D503EF" w:rsidRDefault="00D503EF" w:rsidP="00D503EF">
      <w:pPr>
        <w:pStyle w:val="NormalWeb"/>
        <w:shd w:val="clear" w:color="auto" w:fill="F8F8F8"/>
        <w:spacing w:before="240" w:beforeAutospacing="0" w:after="240" w:afterAutospacing="0"/>
        <w:rPr>
          <w:color w:val="333333"/>
          <w:sz w:val="30"/>
          <w:szCs w:val="30"/>
        </w:rPr>
      </w:pPr>
      <w:r>
        <w:rPr>
          <w:color w:val="333333"/>
          <w:sz w:val="30"/>
          <w:szCs w:val="30"/>
        </w:rPr>
        <w:tab/>
      </w:r>
      <w:r>
        <w:rPr>
          <w:color w:val="333333"/>
          <w:sz w:val="30"/>
          <w:szCs w:val="30"/>
        </w:rPr>
        <w:t>Technology Education as a discipline is at a historical point of two extremes. On one hand it is clear that what we do in technology education is highly valued; after all, imitation is said to be the sincerest form of flattery. The proliferation of "</w:t>
      </w:r>
      <w:proofErr w:type="spellStart"/>
      <w:r>
        <w:rPr>
          <w:color w:val="333333"/>
          <w:sz w:val="30"/>
          <w:szCs w:val="30"/>
        </w:rPr>
        <w:t>Makermania</w:t>
      </w:r>
      <w:proofErr w:type="spellEnd"/>
      <w:r>
        <w:rPr>
          <w:color w:val="333333"/>
          <w:sz w:val="30"/>
          <w:szCs w:val="30"/>
        </w:rPr>
        <w:t>," technical competitions, engineering design in Next Generation Science Standards (NGSS Lead States, 2013), and other initiatives is clear affirmation that the broader educational community feels that all students need more exposure to technology. Upon closer inspection, however, it is apparent that most of these activities are a mile wide and an inch deep: Great for public relations but with very little to offer students in the way of a deep, sustained study of technology. For example, participation in a robotics competition can provide students with a good introduction to mechatronics but likely does not cover as much content as a quarterly, semester, or year-long technology education course. Additionally, students attending a school maker space or conducting an engineering design project in science class likely do not receive the depth of iterative design or the sociocultural aspects they would encounter in a quarterly, semester, or year-long technology education course.</w:t>
      </w:r>
    </w:p>
    <w:p w:rsidR="00D503EF" w:rsidRDefault="00D503EF" w:rsidP="00D503EF">
      <w:pPr>
        <w:pStyle w:val="NormalWeb"/>
        <w:shd w:val="clear" w:color="auto" w:fill="F8F8F8"/>
        <w:spacing w:before="240" w:beforeAutospacing="0" w:after="240" w:afterAutospacing="0"/>
        <w:rPr>
          <w:color w:val="333333"/>
          <w:sz w:val="30"/>
          <w:szCs w:val="30"/>
        </w:rPr>
      </w:pPr>
      <w:r>
        <w:rPr>
          <w:color w:val="333333"/>
          <w:sz w:val="30"/>
          <w:szCs w:val="30"/>
        </w:rPr>
        <w:tab/>
      </w:r>
      <w:r>
        <w:rPr>
          <w:color w:val="333333"/>
          <w:sz w:val="30"/>
          <w:szCs w:val="30"/>
        </w:rPr>
        <w:t xml:space="preserve">The second extreme is the shrinking Technology Education discipline. We continue to see a decline of teachers, courses, and teacher education programs in the United States (Volk, 1997; Sanders, 2001; </w:t>
      </w:r>
      <w:proofErr w:type="spellStart"/>
      <w:r>
        <w:rPr>
          <w:color w:val="333333"/>
          <w:sz w:val="30"/>
          <w:szCs w:val="30"/>
        </w:rPr>
        <w:t>Moye</w:t>
      </w:r>
      <w:proofErr w:type="spellEnd"/>
      <w:r>
        <w:rPr>
          <w:color w:val="333333"/>
          <w:sz w:val="30"/>
          <w:szCs w:val="30"/>
        </w:rPr>
        <w:t xml:space="preserve">, 2009; </w:t>
      </w:r>
      <w:proofErr w:type="spellStart"/>
      <w:r>
        <w:rPr>
          <w:color w:val="333333"/>
          <w:sz w:val="30"/>
          <w:szCs w:val="30"/>
        </w:rPr>
        <w:t>Moye</w:t>
      </w:r>
      <w:proofErr w:type="spellEnd"/>
      <w:r>
        <w:rPr>
          <w:color w:val="333333"/>
          <w:sz w:val="30"/>
          <w:szCs w:val="30"/>
        </w:rPr>
        <w:t xml:space="preserve">, Jones, &amp; </w:t>
      </w:r>
      <w:proofErr w:type="spellStart"/>
      <w:r>
        <w:rPr>
          <w:color w:val="333333"/>
          <w:sz w:val="30"/>
          <w:szCs w:val="30"/>
        </w:rPr>
        <w:t>Dugger</w:t>
      </w:r>
      <w:proofErr w:type="spellEnd"/>
      <w:r>
        <w:rPr>
          <w:color w:val="333333"/>
          <w:sz w:val="30"/>
          <w:szCs w:val="30"/>
        </w:rPr>
        <w:t>, 2015). How do these two extremes coexist? Perhaps it is due to the focus on standardized testing, shrinking school funding, or maybe because there have been few substantial reforms to the core school curriculum in the United States since it was established in 1893 (Reed, 2007). Is the current climate of tinkering with technology education content through maker spaces in libraries, engineering design in science classes, and extracurricular activities merely because it is the best way to fit this valued subject matter into the crowded, complex, and seemingly unchangeable education system of the United States?</w:t>
      </w:r>
    </w:p>
    <w:p w:rsidR="00D503EF" w:rsidRDefault="00D503EF" w:rsidP="00D503EF">
      <w:pPr>
        <w:pStyle w:val="NormalWeb"/>
        <w:shd w:val="clear" w:color="auto" w:fill="F8F8F8"/>
        <w:spacing w:before="240" w:beforeAutospacing="0" w:after="240" w:afterAutospacing="0"/>
        <w:rPr>
          <w:color w:val="333333"/>
          <w:sz w:val="30"/>
          <w:szCs w:val="30"/>
        </w:rPr>
      </w:pPr>
      <w:r>
        <w:rPr>
          <w:color w:val="333333"/>
          <w:sz w:val="30"/>
          <w:szCs w:val="30"/>
        </w:rPr>
        <w:lastRenderedPageBreak/>
        <w:tab/>
      </w:r>
      <w:r>
        <w:rPr>
          <w:color w:val="333333"/>
          <w:sz w:val="30"/>
          <w:szCs w:val="30"/>
        </w:rPr>
        <w:t xml:space="preserve">The current climate of infusing technology activities throughout the broader school curriculum and </w:t>
      </w:r>
      <w:proofErr w:type="spellStart"/>
      <w:r>
        <w:rPr>
          <w:color w:val="333333"/>
          <w:sz w:val="30"/>
          <w:szCs w:val="30"/>
        </w:rPr>
        <w:t>cocurricular</w:t>
      </w:r>
      <w:proofErr w:type="spellEnd"/>
      <w:r>
        <w:rPr>
          <w:color w:val="333333"/>
          <w:sz w:val="30"/>
          <w:szCs w:val="30"/>
        </w:rPr>
        <w:t xml:space="preserve"> activities fits </w:t>
      </w:r>
      <w:proofErr w:type="spellStart"/>
      <w:r>
        <w:rPr>
          <w:color w:val="333333"/>
          <w:sz w:val="30"/>
          <w:szCs w:val="30"/>
        </w:rPr>
        <w:t>Petrina's</w:t>
      </w:r>
      <w:proofErr w:type="spellEnd"/>
      <w:r>
        <w:rPr>
          <w:color w:val="333333"/>
          <w:sz w:val="30"/>
          <w:szCs w:val="30"/>
        </w:rPr>
        <w:t xml:space="preserve"> (2007) explanation of "</w:t>
      </w:r>
      <w:proofErr w:type="spellStart"/>
      <w:r>
        <w:rPr>
          <w:color w:val="333333"/>
          <w:sz w:val="30"/>
          <w:szCs w:val="30"/>
        </w:rPr>
        <w:t>technoenthusiasm</w:t>
      </w:r>
      <w:proofErr w:type="spellEnd"/>
      <w:r>
        <w:rPr>
          <w:color w:val="333333"/>
          <w:sz w:val="30"/>
          <w:szCs w:val="30"/>
        </w:rPr>
        <w:t xml:space="preserve">." Additionally, many current educational practitioners fit within </w:t>
      </w:r>
      <w:proofErr w:type="spellStart"/>
      <w:r>
        <w:rPr>
          <w:color w:val="333333"/>
          <w:sz w:val="30"/>
          <w:szCs w:val="30"/>
        </w:rPr>
        <w:t>Petrina's</w:t>
      </w:r>
      <w:proofErr w:type="spellEnd"/>
      <w:r>
        <w:rPr>
          <w:color w:val="333333"/>
          <w:sz w:val="30"/>
          <w:szCs w:val="30"/>
        </w:rPr>
        <w:t xml:space="preserve"> (2007) definition of </w:t>
      </w:r>
      <w:proofErr w:type="spellStart"/>
      <w:r>
        <w:rPr>
          <w:color w:val="333333"/>
          <w:sz w:val="30"/>
          <w:szCs w:val="30"/>
        </w:rPr>
        <w:t>technonai'vete</w:t>
      </w:r>
      <w:proofErr w:type="spellEnd"/>
      <w:r>
        <w:rPr>
          <w:color w:val="333333"/>
          <w:sz w:val="30"/>
          <w:szCs w:val="30"/>
        </w:rPr>
        <w:t xml:space="preserve">, since they feel the study of technology is "covered" under the </w:t>
      </w:r>
      <w:proofErr w:type="spellStart"/>
      <w:r>
        <w:rPr>
          <w:color w:val="333333"/>
          <w:sz w:val="30"/>
          <w:szCs w:val="30"/>
        </w:rPr>
        <w:t>technoenthusiast</w:t>
      </w:r>
      <w:proofErr w:type="spellEnd"/>
      <w:r>
        <w:rPr>
          <w:color w:val="333333"/>
          <w:sz w:val="30"/>
          <w:szCs w:val="30"/>
        </w:rPr>
        <w:t xml:space="preserve"> mindset. This line of thinking undermines the study of technology as a subject in its own right. It is wrong for the technology education profession to sell out and blindly get on the </w:t>
      </w:r>
      <w:proofErr w:type="spellStart"/>
      <w:r>
        <w:rPr>
          <w:color w:val="333333"/>
          <w:sz w:val="30"/>
          <w:szCs w:val="30"/>
        </w:rPr>
        <w:t>technoenthsiasm</w:t>
      </w:r>
      <w:proofErr w:type="spellEnd"/>
      <w:r>
        <w:rPr>
          <w:color w:val="333333"/>
          <w:sz w:val="30"/>
          <w:szCs w:val="30"/>
        </w:rPr>
        <w:t xml:space="preserve"> bandwagon without advocating for dedicated technology education programs and courses. However, our field should openly support the </w:t>
      </w:r>
      <w:proofErr w:type="spellStart"/>
      <w:r>
        <w:rPr>
          <w:color w:val="333333"/>
          <w:sz w:val="30"/>
          <w:szCs w:val="30"/>
        </w:rPr>
        <w:t>technoenthusiasts</w:t>
      </w:r>
      <w:proofErr w:type="spellEnd"/>
      <w:r>
        <w:rPr>
          <w:color w:val="333333"/>
          <w:sz w:val="30"/>
          <w:szCs w:val="30"/>
        </w:rPr>
        <w:t xml:space="preserve"> from the standpoint that their activities serve as entree into our deeper technology education programs and courses (Figure 1).</w:t>
      </w:r>
    </w:p>
    <w:p w:rsidR="00D503EF" w:rsidRDefault="00D503EF" w:rsidP="00D503EF">
      <w:pPr>
        <w:pStyle w:val="NormalWeb"/>
        <w:shd w:val="clear" w:color="auto" w:fill="F8F8F8"/>
        <w:spacing w:before="240" w:beforeAutospacing="0" w:after="240" w:afterAutospacing="0"/>
        <w:rPr>
          <w:color w:val="333333"/>
          <w:sz w:val="30"/>
          <w:szCs w:val="30"/>
        </w:rPr>
      </w:pPr>
      <w:r>
        <w:rPr>
          <w:color w:val="333333"/>
          <w:sz w:val="30"/>
          <w:szCs w:val="30"/>
        </w:rPr>
        <w:tab/>
      </w:r>
      <w:bookmarkStart w:id="0" w:name="_GoBack"/>
      <w:bookmarkEnd w:id="0"/>
      <w:r>
        <w:rPr>
          <w:color w:val="333333"/>
          <w:sz w:val="30"/>
          <w:szCs w:val="30"/>
        </w:rPr>
        <w:t xml:space="preserve">As a discipline, we need to stay focused despite the seemingly unchangeable U.S. education system and widespread </w:t>
      </w:r>
      <w:proofErr w:type="spellStart"/>
      <w:r>
        <w:rPr>
          <w:color w:val="333333"/>
          <w:sz w:val="30"/>
          <w:szCs w:val="30"/>
        </w:rPr>
        <w:t>technonaivete</w:t>
      </w:r>
      <w:proofErr w:type="spellEnd"/>
      <w:r>
        <w:rPr>
          <w:color w:val="333333"/>
          <w:sz w:val="30"/>
          <w:szCs w:val="30"/>
        </w:rPr>
        <w:t xml:space="preserve">. A loss of disciplinary focus at this point could perpetuate the demise of the Technology Education </w:t>
      </w:r>
      <w:proofErr w:type="gramStart"/>
      <w:r>
        <w:rPr>
          <w:color w:val="333333"/>
          <w:sz w:val="30"/>
          <w:szCs w:val="30"/>
        </w:rPr>
        <w:t>discipline</w:t>
      </w:r>
      <w:proofErr w:type="gramEnd"/>
      <w:r>
        <w:rPr>
          <w:color w:val="333333"/>
          <w:sz w:val="30"/>
          <w:szCs w:val="30"/>
        </w:rPr>
        <w:t>. The noted business researcher Jim Collins has found that enduring, great organizations confront facts, avoid distractions, and maintain a laser-like focus on their mission (Collins, 2001). Some of these business concepts clearly apply to the Technology Education discipline. The brutal fact facing technology education at this point in history is that we must not overstep our role in STEM education. Overstepping dilutes our focus and is a distraction from our mission. Our mission must continue to be built on the pillars that define our discipline: content, an epistemological basis, and our history of practice, inclusive of curriculum, teaching, and research. …</w:t>
      </w:r>
    </w:p>
    <w:p w:rsidR="001B2631" w:rsidRDefault="00D503EF"/>
    <w:sectPr w:rsidR="001B26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03EF"/>
    <w:rsid w:val="00A3471A"/>
    <w:rsid w:val="00D503EF"/>
    <w:rsid w:val="00D95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503EF"/>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503E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4916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590</Words>
  <Characters>3364</Characters>
  <Application>Microsoft Office Word</Application>
  <DocSecurity>0</DocSecurity>
  <Lines>28</Lines>
  <Paragraphs>7</Paragraphs>
  <ScaleCrop>false</ScaleCrop>
  <Company/>
  <LinksUpToDate>false</LinksUpToDate>
  <CharactersWithSpaces>3947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2019-10-26T09:16:00Z</dcterms:created>
  <dcterms:modified xsi:type="dcterms:W3CDTF">2019-10-26T09:18:00Z</dcterms:modified>
</cp:coreProperties>
</file>